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75A" w:rsidRPr="00110ECD" w:rsidRDefault="00F5775A" w:rsidP="00FE4BED">
      <w:pPr>
        <w:pStyle w:val="Corptext"/>
        <w:ind w:right="117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14118A">
        <w:rPr>
          <w:rFonts w:ascii="Calibri" w:hAnsi="Calibri" w:cs="Calibri"/>
        </w:rPr>
        <w:t xml:space="preserve"> 4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Corp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Corp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Corp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f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7DF" w:rsidRDefault="00C417DF">
      <w:r>
        <w:separator/>
      </w:r>
    </w:p>
  </w:endnote>
  <w:endnote w:type="continuationSeparator" w:id="0">
    <w:p w:rsidR="00C417DF" w:rsidRDefault="00C4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C0E" w:rsidRDefault="00604C0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4C0D9C" w:rsidP="00F12E7F">
    <w:pPr>
      <w:pStyle w:val="Subsol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4C0D9C">
    <w:pPr>
      <w:pStyle w:val="Subsol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7DF" w:rsidRDefault="00C417DF">
      <w:r>
        <w:separator/>
      </w:r>
    </w:p>
  </w:footnote>
  <w:footnote w:type="continuationSeparator" w:id="0">
    <w:p w:rsidR="00C417DF" w:rsidRDefault="00C41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C0E" w:rsidRDefault="00604C0E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C6A" w:rsidRPr="00841C6A" w:rsidRDefault="004C0D9C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196E29">
      <w:rPr>
        <w:rFonts w:ascii="Calibri" w:hAnsi="Calibri" w:cs="Calibri"/>
        <w:color w:val="999999"/>
        <w:sz w:val="22"/>
        <w:szCs w:val="22"/>
      </w:rPr>
      <w:t>3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196E29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Pr="00841C6A">
      <w:rPr>
        <w:rFonts w:ascii="Calibri" w:hAnsi="Calibri" w:cs="Calibri"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Ante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182" w:rsidRDefault="004C0D9C" w:rsidP="00EB4182">
    <w:pPr>
      <w:pStyle w:val="Antet"/>
      <w:tabs>
        <w:tab w:val="clear" w:pos="4536"/>
        <w:tab w:val="clear" w:pos="9072"/>
        <w:tab w:val="left" w:pos="6473"/>
      </w:tabs>
    </w:pPr>
    <w:r>
      <w:rPr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118A"/>
    <w:rsid w:val="00144BFD"/>
    <w:rsid w:val="001679F8"/>
    <w:rsid w:val="001726E9"/>
    <w:rsid w:val="00196E2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C0D9C"/>
    <w:rsid w:val="004E277C"/>
    <w:rsid w:val="00523BEA"/>
    <w:rsid w:val="005705BF"/>
    <w:rsid w:val="005A6B00"/>
    <w:rsid w:val="005C21C9"/>
    <w:rsid w:val="005C7AFF"/>
    <w:rsid w:val="00604C0E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17DF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,"/>
  <w:listSeparator w:val=";"/>
  <w15:chartTrackingRefBased/>
  <w15:docId w15:val="{089766B8-2866-4537-A9DD-213F74AF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AntetCaracter">
    <w:name w:val="Antet Caracter"/>
    <w:link w:val="Antet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link w:val="Titlu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30DBB-7336-4DC9-A268-1A419657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1</TotalTime>
  <Pages>7</Pages>
  <Words>1793</Words>
  <Characters>11574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mihaela.dobrean@por.adrcentru</cp:lastModifiedBy>
  <cp:revision>4</cp:revision>
  <cp:lastPrinted>2022-03-29T08:07:00Z</cp:lastPrinted>
  <dcterms:created xsi:type="dcterms:W3CDTF">2023-10-24T10:37:00Z</dcterms:created>
  <dcterms:modified xsi:type="dcterms:W3CDTF">2024-01-29T14:50:00Z</dcterms:modified>
</cp:coreProperties>
</file>